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Lír</w:t>
      </w:r>
      <w:r w:rsidR="00796044">
        <w:rPr>
          <w:rFonts w:ascii="Times New Roman" w:hAnsi="Times New Roman"/>
          <w:b/>
          <w:bCs/>
          <w:iCs/>
          <w:sz w:val="28"/>
          <w:szCs w:val="28"/>
          <w:u w:val="single"/>
        </w:rPr>
        <w:t>Art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AMI</w:t>
      </w:r>
    </w:p>
    <w:p w:rsid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35638">
        <w:rPr>
          <w:rFonts w:ascii="Times New Roman" w:hAnsi="Times New Roman"/>
          <w:b/>
          <w:bCs/>
          <w:iCs/>
          <w:sz w:val="28"/>
          <w:szCs w:val="28"/>
          <w:u w:val="single"/>
        </w:rPr>
        <w:t>Az iskolatitkári munkakörhöz tartozó szakmai követelményrendszer</w:t>
      </w:r>
    </w:p>
    <w:p w:rsidR="00935638" w:rsidRP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935638" w:rsidRPr="00A7404C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</w:p>
    <w:p w:rsidR="00935638" w:rsidRPr="00796044" w:rsidRDefault="00935638" w:rsidP="00796044">
      <w:pPr>
        <w:pStyle w:val="uj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bCs/>
          <w:iCs/>
        </w:rPr>
      </w:pPr>
      <w:r w:rsidRPr="00796044">
        <w:rPr>
          <w:rFonts w:ascii="Times New Roman" w:hAnsi="Times New Roman"/>
          <w:b/>
          <w:bCs/>
          <w:iCs/>
        </w:rPr>
        <w:t>A munkakörhöz tartozó hospitálási kötelezettség</w:t>
      </w:r>
    </w:p>
    <w:p w:rsidR="00935638" w:rsidRPr="00A7404C" w:rsidRDefault="00935638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iskolatitkár munkakört betöltő, pedagógus szakképzettséggel rendelkező gyakornoki fokozatban lévő munkavállalónak a minősítő vizsga megkezdését megelőzően félévenként legalább öt óra hospitáláson kell részt vennie. A hospitáláshoz választott tanóráknak, foglalkozásoknak az iskolatitkár pedagógus szakképzettségéhez kell kapcsolódniuk. A hospitálásokról a gyakornoknak hospitálási naplót kell vezetnie. A hospitálási naplóban az egyes órák, foglalkozások látogatásának jól el kell különülniük, a meglátogatott órákat ennek érdekében számozni kell. A hospitálási naplónak tartalmaznia kell az alábbi elemeket: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meglátogatott óra sorszáma</w:t>
      </w:r>
      <w:r w:rsidR="00796044">
        <w:rPr>
          <w:rFonts w:ascii="Times New Roman" w:hAnsi="Times New Roman"/>
          <w:bCs/>
          <w:iCs/>
        </w:rPr>
        <w:t xml:space="preserve">, </w:t>
      </w:r>
      <w:proofErr w:type="gramStart"/>
      <w:r w:rsidR="00796044">
        <w:rPr>
          <w:rFonts w:ascii="Times New Roman" w:hAnsi="Times New Roman"/>
          <w:bCs/>
          <w:iCs/>
        </w:rPr>
        <w:t>dátuma</w:t>
      </w:r>
      <w:proofErr w:type="gramEnd"/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meglátogatott óra/foglalkozás megnevezése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órát, foglalkozást tartó pedagógus neve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óra, foglalkozás menetével kapcsolatos lényeges feljegyzések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óra, foglalkozás menetével kapcsolatos pedagógiai természetű megállapítások, feljegyzések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hospitálási naplót számítógéppel kell elkészíteni, azt ki kell nyomtatni</w:t>
      </w:r>
    </w:p>
    <w:p w:rsidR="00935638" w:rsidRPr="00A7404C" w:rsidRDefault="00935638" w:rsidP="00796044">
      <w:pPr>
        <w:pStyle w:val="uj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hospitálási naplóra be kell szerezni az órát vezető pedagógus aláírását</w:t>
      </w:r>
    </w:p>
    <w:p w:rsidR="00935638" w:rsidRPr="00A7404C" w:rsidRDefault="00935638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</w:p>
    <w:p w:rsidR="00935638" w:rsidRPr="00A7404C" w:rsidRDefault="00935638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 xml:space="preserve">A gyakornok a hospitálási naplót nyolc nappal a minősítő vizsga napja előtt köteles átadni az intézmény vezetőjének. A hospitálási naplót a minősítő bizottság 0-10 ponttal értékeli. </w:t>
      </w:r>
    </w:p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</w:p>
    <w:p w:rsidR="00796044" w:rsidRDefault="00935638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 w:rsidRPr="00796044">
        <w:rPr>
          <w:rFonts w:ascii="Times New Roman" w:hAnsi="Times New Roman"/>
          <w:b/>
          <w:bCs/>
          <w:iCs/>
        </w:rPr>
        <w:t>2 A minősítő bizottságnak a követelményrendszer alábbi követelményeinek mindegyikét figyelembe kell venni a szakmai követelmények értékelésekor</w:t>
      </w:r>
      <w:r w:rsidRPr="00A7404C">
        <w:rPr>
          <w:rFonts w:ascii="Times New Roman" w:hAnsi="Times New Roman"/>
          <w:bCs/>
          <w:i/>
          <w:iCs/>
        </w:rPr>
        <w:t>.</w:t>
      </w:r>
      <w:r w:rsidRPr="00A7404C">
        <w:rPr>
          <w:rFonts w:ascii="Times New Roman" w:hAnsi="Times New Roman"/>
          <w:bCs/>
          <w:iCs/>
        </w:rPr>
        <w:t xml:space="preserve"> </w:t>
      </w:r>
    </w:p>
    <w:p w:rsidR="00935638" w:rsidRPr="00796044" w:rsidRDefault="00935638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iskolatitkári munkakörhöz kapcsolódó követelményeke</w:t>
      </w:r>
      <w:r w:rsidR="00796044">
        <w:rPr>
          <w:rFonts w:ascii="Times New Roman" w:hAnsi="Times New Roman"/>
          <w:bCs/>
          <w:iCs/>
        </w:rPr>
        <w:t>t az alábbiakban határozzuk meg: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935638" w:rsidRPr="00A7404C">
        <w:rPr>
          <w:rFonts w:ascii="Times New Roman" w:hAnsi="Times New Roman"/>
          <w:bCs/>
          <w:iCs/>
        </w:rPr>
        <w:t>A munkába érkezés pontossága, a munkaidő pontos betartása és nyilvántartása, a napi és heti munkaidő hatékony kihasználása.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Az iskola tanulóiról, pedagógusairól és más dolgozóiról vezetett nyilvántartások pontossága, szakszerűsége, naprakészsége, precizitása, a digitális napló adatfeltöltési folyamatában való pontos részvétel.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 beírási napló évfolyamonként és személyenként történő vezetésének pontossága, az adatok egyezése a törzskönyvekkel, a nyilvántartási adatok vezetése, a megváltozott adatok megfelelően hatékony kezelése, iskolalátogatási igazolások kiadásának gyakorlata.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935638" w:rsidRPr="009044BE">
        <w:rPr>
          <w:rFonts w:ascii="Times New Roman" w:hAnsi="Times New Roman"/>
          <w:bCs/>
          <w:iCs/>
        </w:rPr>
        <w:t>A tanulói és a pedagógus adatok vezetése a KIR Személyi Nyilvántartásban, az adatok rendszeres frissítésének és karbantartásának folyamata, a pedagógus és a tanulói jogviszony létesítésével és megszüntetésével kapcsolatos feladatok hatékony elvégzése, az adatkezelési szabályzatban meghatározott adatkezelési szabályok betartása.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 bizonyítványok, törzskönyvi kivonatok, diákigazolványok, pedagógus igazolványok és más szigorú számadású nyomtatványok kezelési folyamata.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Az iskolai postai küldemények átvételének, továbbításának rendje és pontossága, a bélyegelszámolás nyilvántartása, az iktatókönyv és a tárgymutató vezetésének rendje, a legszükségesebb postacímek és telefonszámok nyilvántartása.</w:t>
      </w:r>
    </w:p>
    <w:p w:rsidR="00935638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 hivatalos határozatok, levelek, értesítések elkészítésének rendje, határideje, az iratok formátuma.</w:t>
      </w:r>
    </w:p>
    <w:p w:rsidR="00935638" w:rsidRPr="009044BE" w:rsidRDefault="00796044" w:rsidP="00796044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935638">
        <w:rPr>
          <w:rFonts w:ascii="Times New Roman" w:hAnsi="Times New Roman"/>
          <w:bCs/>
          <w:iCs/>
        </w:rPr>
        <w:t xml:space="preserve"> </w:t>
      </w:r>
      <w:r w:rsidR="00935638" w:rsidRPr="009044BE">
        <w:rPr>
          <w:rFonts w:ascii="Times New Roman" w:hAnsi="Times New Roman"/>
          <w:bCs/>
          <w:iCs/>
        </w:rPr>
        <w:t>Az iskola vezetőinek háttértámogatása, az iskolatitkári szervezőmunka hatékonysága, telefonhívások és üzenetek átadási rendje.</w:t>
      </w:r>
    </w:p>
    <w:p w:rsidR="00935638" w:rsidRPr="00A7404C" w:rsidRDefault="00935638" w:rsidP="00796044">
      <w:pPr>
        <w:rPr>
          <w:color w:val="auto"/>
          <w:sz w:val="24"/>
          <w:szCs w:val="22"/>
        </w:rPr>
      </w:pPr>
      <w:r w:rsidRPr="00A7404C">
        <w:rPr>
          <w:color w:val="auto"/>
          <w:sz w:val="24"/>
          <w:szCs w:val="22"/>
        </w:rPr>
        <w:t xml:space="preserve">3 Az iskolatitkár minősítő vizsgájának az ellátandó feladatok végrehajtását értékelő </w:t>
      </w:r>
      <w:proofErr w:type="gramStart"/>
      <w:r w:rsidRPr="00A7404C">
        <w:rPr>
          <w:color w:val="auto"/>
          <w:sz w:val="24"/>
          <w:szCs w:val="22"/>
        </w:rPr>
        <w:t>dokumentuma</w:t>
      </w:r>
      <w:proofErr w:type="gramEnd"/>
      <w:r w:rsidRPr="00A7404C">
        <w:rPr>
          <w:color w:val="auto"/>
          <w:sz w:val="24"/>
          <w:szCs w:val="22"/>
        </w:rPr>
        <w:t xml:space="preserve"> a következő adatokat tartalmazza.</w:t>
      </w:r>
    </w:p>
    <w:tbl>
      <w:tblPr>
        <w:tblStyle w:val="Vilgosrcs1jellszn"/>
        <w:tblW w:w="9135" w:type="dxa"/>
        <w:tblLook w:val="04A0" w:firstRow="1" w:lastRow="0" w:firstColumn="1" w:lastColumn="0" w:noHBand="0" w:noVBand="1"/>
      </w:tblPr>
      <w:tblGrid>
        <w:gridCol w:w="680"/>
        <w:gridCol w:w="5922"/>
        <w:gridCol w:w="1500"/>
        <w:gridCol w:w="1033"/>
      </w:tblGrid>
      <w:tr w:rsidR="00935638" w:rsidRPr="00A7404C" w:rsidTr="00796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Az ellátandó feladatok és az értékelés szempontjai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Pontszám</w:t>
            </w: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Max.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1.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munkába érkezés pontossága, a munkaidő pontos betartása és nyilvántartása, a napi és heti munkaidő hatékony kihasználása.</w:t>
            </w:r>
            <w:r>
              <w:rPr>
                <w:rFonts w:ascii="Times New Roman" w:hAnsi="Times New Roman"/>
                <w:bCs/>
                <w:iCs/>
              </w:rPr>
              <w:t xml:space="preserve"> A partnerekkel történő kapcsolattartás kulturáltsága.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2.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 tanulóiról, pedagógusairól és más dolgozóiról vezetett nyilvántartások pontossága, szakszerűsége, naprakészsége, precizitása, a digitális napló adatfeltöltési folyamatában való pontos részvétel.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3.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beírási napló évfolyamonként és személyenként történő vezetésének pontossága, az adatok egyezése a törzskönyvekkel, a nyilvántartási adatok vezetése, a megváltozott adatok hatékony kezelése, iskolalátogatási igazolások kiadásának gyakorlata.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4.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tanulói és a pedagógus adatok vezetése a KIR Személyi Nyilvántartásban, az adatok frissítésének és karbantartásának folyamata, a pedagógus és a tanulói jogviszony létesítésével és megszüntetésével kapcsolatos feladatok hatékony elvégzése, az adatkezelési szabályok betartása.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5.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bizonyítványok, törzskönyvi kivonatok, diákigazolványok, pedagógus igazolványok és más szigorú számadású nyomtatványok kezelési folyamata.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6.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iskolai postai küldemények átvételének, továbbításának rendje és pontossága, a bélyegelszámolás nyilvántartása, az iktatókönyv és a tárgymutató vezetésének rendje, a legszükségesebb postacímek és telefonszámok nyilvántartása.</w:t>
            </w: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7.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hivatalos határozatok, levelek, értesítések elkészítésének rendje, határideje, az iratok formátuma.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8.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 vezetőinek háttértámogatása, az iskolatitkári szervezőmunka hatékonysága, telefonhívások és üzenetek átadási rendje.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bookmarkStart w:id="0" w:name="_GoBack"/>
            <w:r w:rsidRPr="00A7404C">
              <w:rPr>
                <w:rFonts w:ascii="Times New Roman" w:hAnsi="Times New Roman"/>
                <w:bCs w:val="0"/>
                <w:iCs/>
              </w:rPr>
              <w:t>9.</w:t>
            </w:r>
          </w:p>
        </w:tc>
        <w:tc>
          <w:tcPr>
            <w:tcW w:w="5922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gyakornok hospitálási naplójának értékelése, formai, tartalmi és pedagógiai elemek minősítése, szakszerű szóhasználat minősége.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0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3" w:type="dxa"/>
            <w:vAlign w:val="center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10</w:t>
            </w:r>
          </w:p>
        </w:tc>
      </w:tr>
      <w:bookmarkEnd w:id="0"/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bCs w:val="0"/>
                <w:iCs/>
                <w:strike/>
              </w:rPr>
            </w:pPr>
          </w:p>
        </w:tc>
        <w:tc>
          <w:tcPr>
            <w:tcW w:w="2533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trike/>
              </w:rPr>
            </w:pP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4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 w:val="0"/>
                <w:i/>
              </w:rPr>
              <w:t xml:space="preserve">A gyakornok minősítési követelményeknek való megfeleléséről készített esetleges kiegészítő intézményvezetői szöveges értékelés jelen minősítő </w:t>
            </w:r>
            <w:proofErr w:type="gramStart"/>
            <w:r w:rsidRPr="00A7404C">
              <w:rPr>
                <w:rFonts w:ascii="Times New Roman" w:hAnsi="Times New Roman"/>
                <w:b w:val="0"/>
                <w:i/>
              </w:rPr>
              <w:t>dokumentum</w:t>
            </w:r>
            <w:proofErr w:type="gramEnd"/>
            <w:r w:rsidRPr="00A7404C">
              <w:rPr>
                <w:rFonts w:ascii="Times New Roman" w:hAnsi="Times New Roman"/>
                <w:b w:val="0"/>
                <w:i/>
              </w:rPr>
              <w:t xml:space="preserve"> mellékletét képezi.</w:t>
            </w: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96044">
            <w:pPr>
              <w:spacing w:after="120"/>
              <w:rPr>
                <w:b w:val="0"/>
                <w:color w:val="auto"/>
                <w:szCs w:val="24"/>
              </w:rPr>
            </w:pPr>
            <w:r w:rsidRPr="00A7404C">
              <w:rPr>
                <w:b w:val="0"/>
                <w:bCs w:val="0"/>
                <w:iCs/>
                <w:color w:val="auto"/>
              </w:rPr>
              <w:t xml:space="preserve">Kelt: </w:t>
            </w:r>
            <w:r w:rsidR="00796044">
              <w:rPr>
                <w:b w:val="0"/>
                <w:bCs w:val="0"/>
                <w:iCs/>
                <w:color w:val="auto"/>
              </w:rPr>
              <w:t>Mezőkövesd, 2021. augusztus 30.</w:t>
            </w:r>
          </w:p>
        </w:tc>
        <w:tc>
          <w:tcPr>
            <w:tcW w:w="2533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A7404C">
              <w:rPr>
                <w:rFonts w:ascii="Times New Roman" w:hAnsi="Times New Roman"/>
                <w:bCs w:val="0"/>
                <w:i/>
                <w:iCs/>
              </w:rPr>
              <w:t>………………………………………</w:t>
            </w:r>
          </w:p>
        </w:tc>
        <w:tc>
          <w:tcPr>
            <w:tcW w:w="2533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9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96044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 w:val="0"/>
                <w:i/>
                <w:iCs/>
              </w:rPr>
              <w:t>Bolykó</w:t>
            </w:r>
            <w:proofErr w:type="spellEnd"/>
            <w:r w:rsidR="00796044">
              <w:rPr>
                <w:rFonts w:ascii="Times New Roman" w:hAnsi="Times New Roman"/>
                <w:bCs w:val="0"/>
                <w:i/>
                <w:iCs/>
              </w:rPr>
              <w:t xml:space="preserve"> István</w:t>
            </w:r>
          </w:p>
        </w:tc>
        <w:tc>
          <w:tcPr>
            <w:tcW w:w="2533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A7404C">
              <w:rPr>
                <w:rFonts w:ascii="Times New Roman" w:hAnsi="Times New Roman"/>
                <w:b/>
                <w:bCs/>
                <w:iCs/>
              </w:rPr>
              <w:t>P.h</w:t>
            </w:r>
            <w:proofErr w:type="spellEnd"/>
            <w:r w:rsidRPr="00A7404C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935638" w:rsidRPr="00A7404C" w:rsidTr="0079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A7404C">
              <w:rPr>
                <w:rFonts w:ascii="Times New Roman" w:hAnsi="Times New Roman"/>
                <w:bCs w:val="0"/>
                <w:i/>
                <w:iCs/>
              </w:rPr>
              <w:t>a minősítő bizottság elnöke, igazgató</w:t>
            </w:r>
          </w:p>
        </w:tc>
        <w:tc>
          <w:tcPr>
            <w:tcW w:w="2533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</w:p>
    <w:p w:rsidR="00EB3D3D" w:rsidRDefault="00EB3D3D"/>
    <w:sectPr w:rsidR="00EB3D3D" w:rsidSect="000A3D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821"/>
    <w:multiLevelType w:val="hybridMultilevel"/>
    <w:tmpl w:val="0720B84A"/>
    <w:lvl w:ilvl="0" w:tplc="6A026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E124CA"/>
    <w:multiLevelType w:val="multilevel"/>
    <w:tmpl w:val="90626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72289E"/>
    <w:multiLevelType w:val="hybridMultilevel"/>
    <w:tmpl w:val="E7D2297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AB4F86"/>
    <w:multiLevelType w:val="multilevel"/>
    <w:tmpl w:val="37B0CA7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8"/>
    <w:rsid w:val="000A3D47"/>
    <w:rsid w:val="00796044"/>
    <w:rsid w:val="00935638"/>
    <w:rsid w:val="00E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35DD"/>
  <w15:chartTrackingRefBased/>
  <w15:docId w15:val="{9623A535-FA2F-41C2-A846-25024C1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638"/>
    <w:pPr>
      <w:spacing w:after="0" w:line="240" w:lineRule="auto"/>
      <w:jc w:val="both"/>
    </w:pPr>
    <w:rPr>
      <w:rFonts w:ascii="Times New Roman" w:eastAsia="Times New Roman" w:hAnsi="Times New Roman" w:cs="Arial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5638"/>
    <w:pPr>
      <w:ind w:left="720"/>
      <w:contextualSpacing/>
    </w:pPr>
  </w:style>
  <w:style w:type="paragraph" w:customStyle="1" w:styleId="uj">
    <w:name w:val="uj"/>
    <w:basedOn w:val="Norml"/>
    <w:rsid w:val="00935638"/>
    <w:pPr>
      <w:spacing w:before="100" w:beforeAutospacing="1" w:after="100" w:afterAutospacing="1"/>
      <w:jc w:val="left"/>
    </w:pPr>
    <w:rPr>
      <w:rFonts w:ascii="Arial Unicode MS" w:hAnsi="Arial Unicode MS" w:cs="Times New Roman"/>
      <w:color w:val="auto"/>
      <w:sz w:val="24"/>
      <w:szCs w:val="24"/>
    </w:rPr>
  </w:style>
  <w:style w:type="table" w:styleId="Vilgosrcs1jellszn">
    <w:name w:val="Light Grid Accent 1"/>
    <w:basedOn w:val="Normltblzat"/>
    <w:uiPriority w:val="62"/>
    <w:rsid w:val="009356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Duettlira18@sulid.hu</dc:creator>
  <cp:keywords/>
  <dc:description/>
  <cp:lastModifiedBy>Duettlira18@sulid.hu</cp:lastModifiedBy>
  <cp:revision>2</cp:revision>
  <dcterms:created xsi:type="dcterms:W3CDTF">2021-11-17T10:27:00Z</dcterms:created>
  <dcterms:modified xsi:type="dcterms:W3CDTF">2021-11-17T10:27:00Z</dcterms:modified>
</cp:coreProperties>
</file>